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CF019" w14:textId="77777777" w:rsidR="00F13DDF" w:rsidRDefault="00F13DDF" w:rsidP="00BC7008">
      <w:pPr>
        <w:jc w:val="center"/>
        <w:rPr>
          <w:rFonts w:asciiTheme="minorBidi" w:hAnsiTheme="minorBidi" w:cs="Cordia New"/>
          <w:b/>
          <w:bCs/>
          <w:sz w:val="32"/>
          <w:szCs w:val="32"/>
        </w:rPr>
      </w:pPr>
    </w:p>
    <w:p w14:paraId="595B1D4E" w14:textId="4E31CC06" w:rsidR="00BC7008" w:rsidRDefault="00BC7008" w:rsidP="00BC7008">
      <w:pPr>
        <w:jc w:val="center"/>
        <w:rPr>
          <w:rFonts w:asciiTheme="minorBidi" w:hAnsiTheme="minorBidi" w:cs="Cordia New"/>
          <w:b/>
          <w:bCs/>
          <w:sz w:val="32"/>
          <w:szCs w:val="32"/>
        </w:rPr>
      </w:pPr>
      <w:r w:rsidRPr="009F6AC5">
        <w:rPr>
          <w:rFonts w:asciiTheme="minorBidi" w:hAnsiTheme="minorBidi" w:cs="Cordia New"/>
          <w:b/>
          <w:bCs/>
          <w:sz w:val="32"/>
          <w:szCs w:val="32"/>
        </w:rPr>
        <w:t>SCGC Achieves 25 Environmental and Safety Governance Awards 2024 from IEAT, Advancing Industrial Plants with Digital Technology for Sustainable Community Coexistence</w:t>
      </w:r>
    </w:p>
    <w:p w14:paraId="30CAA99A" w14:textId="77777777" w:rsidR="00BC7008" w:rsidRPr="00633B29" w:rsidRDefault="00BC7008" w:rsidP="00BC7008">
      <w:pPr>
        <w:jc w:val="thaiDistribute"/>
        <w:rPr>
          <w:rFonts w:asciiTheme="minorBidi" w:hAnsiTheme="minorBidi" w:cstheme="minorBidi"/>
          <w:b/>
          <w:bCs/>
          <w:sz w:val="32"/>
          <w:szCs w:val="32"/>
        </w:rPr>
      </w:pPr>
    </w:p>
    <w:p w14:paraId="69D93ACF" w14:textId="77777777" w:rsidR="00BC7008" w:rsidRPr="00FA74AB" w:rsidRDefault="00BC7008" w:rsidP="00BC7008">
      <w:pPr>
        <w:jc w:val="thaiDistribute"/>
        <w:rPr>
          <w:rFonts w:asciiTheme="minorBidi" w:hAnsiTheme="minorBidi" w:cstheme="minorBidi"/>
          <w:sz w:val="32"/>
          <w:szCs w:val="32"/>
        </w:rPr>
      </w:pPr>
      <w:r w:rsidRPr="00BC7008">
        <w:rPr>
          <w:rFonts w:asciiTheme="minorBidi" w:hAnsiTheme="minorBidi" w:cstheme="minorBidi"/>
          <w:sz w:val="32"/>
          <w:szCs w:val="32"/>
        </w:rPr>
        <w:t>Rayong – 19 August 2024</w:t>
      </w:r>
      <w:r w:rsidRPr="00FA74AB">
        <w:rPr>
          <w:rFonts w:asciiTheme="minorBidi" w:hAnsiTheme="minorBidi" w:cstheme="minorBidi"/>
          <w:b/>
          <w:bCs/>
          <w:sz w:val="32"/>
          <w:szCs w:val="32"/>
        </w:rPr>
        <w:t>:</w:t>
      </w:r>
      <w:r w:rsidRPr="00FA74AB">
        <w:rPr>
          <w:rFonts w:asciiTheme="minorBidi" w:hAnsiTheme="minorBidi" w:cstheme="minorBidi"/>
          <w:sz w:val="32"/>
          <w:szCs w:val="32"/>
        </w:rPr>
        <w:t xml:space="preserve"> Eleven companies within the SCG Chemicals or SCGC have been awarded with a total of 25 Environmental and Safety Governance Awards for 2024 from the Industrial Estate Authority of Thailand (IEAT). These include 11 White Flag-Gold Star awards and 14 White Flag-Green Star awards. The awards were given based on assessments of the plants across various dimensions in accordance with 13 international standards, such as environmental management capabilities, safety, social responsibility, and public participation in monitoring and overseeing environmental and safety standards. The awards were presented by </w:t>
      </w:r>
      <w:proofErr w:type="spellStart"/>
      <w:r w:rsidRPr="00FA74AB">
        <w:rPr>
          <w:rFonts w:asciiTheme="minorBidi" w:hAnsiTheme="minorBidi" w:cstheme="minorBidi"/>
          <w:sz w:val="32"/>
          <w:szCs w:val="32"/>
        </w:rPr>
        <w:t>Veeris</w:t>
      </w:r>
      <w:proofErr w:type="spellEnd"/>
      <w:r w:rsidRPr="00FA74AB">
        <w:rPr>
          <w:rFonts w:asciiTheme="minorBidi" w:hAnsiTheme="minorBidi" w:cstheme="minorBidi"/>
          <w:sz w:val="32"/>
          <w:szCs w:val="32"/>
        </w:rPr>
        <w:t xml:space="preserve"> </w:t>
      </w:r>
      <w:proofErr w:type="spellStart"/>
      <w:r w:rsidRPr="00FA74AB">
        <w:rPr>
          <w:rFonts w:asciiTheme="minorBidi" w:hAnsiTheme="minorBidi" w:cstheme="minorBidi"/>
          <w:sz w:val="32"/>
          <w:szCs w:val="32"/>
        </w:rPr>
        <w:t>Ammarapala</w:t>
      </w:r>
      <w:proofErr w:type="spellEnd"/>
      <w:r w:rsidRPr="00FA74AB">
        <w:rPr>
          <w:rFonts w:asciiTheme="minorBidi" w:hAnsiTheme="minorBidi" w:cstheme="minorBidi"/>
          <w:sz w:val="32"/>
          <w:szCs w:val="32"/>
        </w:rPr>
        <w:t>, Governor of the Industrial Estate Authority of Thailand.</w:t>
      </w:r>
    </w:p>
    <w:p w14:paraId="4DB1FB14" w14:textId="77777777" w:rsidR="00BC7008" w:rsidRPr="00FA74AB" w:rsidRDefault="00BC7008" w:rsidP="00BC7008">
      <w:pPr>
        <w:jc w:val="thaiDistribute"/>
        <w:rPr>
          <w:rFonts w:asciiTheme="minorBidi" w:hAnsiTheme="minorBidi" w:cstheme="minorBidi"/>
          <w:sz w:val="32"/>
          <w:szCs w:val="32"/>
        </w:rPr>
      </w:pPr>
    </w:p>
    <w:p w14:paraId="3FFA0CFA" w14:textId="77777777" w:rsidR="00BC7008" w:rsidRPr="009F6AC5" w:rsidRDefault="00BC7008" w:rsidP="00BC7008">
      <w:pPr>
        <w:spacing w:after="160" w:line="278" w:lineRule="auto"/>
        <w:ind w:firstLine="720"/>
        <w:jc w:val="both"/>
        <w:rPr>
          <w:rFonts w:asciiTheme="minorBidi" w:hAnsiTheme="minorBidi" w:cstheme="minorBidi"/>
          <w:sz w:val="32"/>
          <w:szCs w:val="32"/>
        </w:rPr>
      </w:pPr>
      <w:r w:rsidRPr="00DF31D8">
        <w:rPr>
          <w:rFonts w:asciiTheme="minorBidi" w:hAnsiTheme="minorBidi" w:cstheme="minorBidi"/>
          <w:sz w:val="32"/>
          <w:szCs w:val="32"/>
        </w:rPr>
        <w:t xml:space="preserve">The companies under SCGC that received the </w:t>
      </w:r>
      <w:r w:rsidRPr="00DF31D8">
        <w:rPr>
          <w:rFonts w:asciiTheme="minorBidi" w:hAnsiTheme="minorBidi" w:cstheme="minorBidi"/>
          <w:b/>
          <w:bCs/>
          <w:sz w:val="32"/>
          <w:szCs w:val="32"/>
        </w:rPr>
        <w:t>Environmental and Safety Governance Awards</w:t>
      </w:r>
      <w:r w:rsidRPr="00DF31D8">
        <w:rPr>
          <w:rFonts w:asciiTheme="minorBidi" w:hAnsiTheme="minorBidi" w:cstheme="minorBidi"/>
          <w:sz w:val="32"/>
          <w:szCs w:val="32"/>
        </w:rPr>
        <w:t xml:space="preserve"> </w:t>
      </w:r>
      <w:r w:rsidRPr="00DF31D8">
        <w:rPr>
          <w:rFonts w:asciiTheme="minorBidi" w:hAnsiTheme="minorBidi" w:cstheme="minorBidi"/>
          <w:b/>
          <w:bCs/>
          <w:sz w:val="32"/>
          <w:szCs w:val="32"/>
        </w:rPr>
        <w:t>(White Flag - Gold Star) for</w:t>
      </w:r>
      <w:r w:rsidRPr="00DF31D8">
        <w:rPr>
          <w:rFonts w:asciiTheme="minorBidi" w:hAnsiTheme="minorBidi" w:cstheme="minorBidi"/>
          <w:sz w:val="32"/>
          <w:szCs w:val="32"/>
        </w:rPr>
        <w:t xml:space="preserve"> </w:t>
      </w:r>
      <w:r w:rsidRPr="00DF31D8">
        <w:rPr>
          <w:rFonts w:asciiTheme="minorBidi" w:hAnsiTheme="minorBidi" w:cstheme="minorBidi"/>
          <w:b/>
          <w:bCs/>
          <w:sz w:val="32"/>
          <w:szCs w:val="32"/>
        </w:rPr>
        <w:t>Outstanding Performance in 2024</w:t>
      </w:r>
      <w:r w:rsidRPr="00DF31D8">
        <w:rPr>
          <w:rFonts w:asciiTheme="minorBidi" w:hAnsiTheme="minorBidi" w:cstheme="minorBidi"/>
          <w:sz w:val="32"/>
          <w:szCs w:val="32"/>
        </w:rPr>
        <w:t xml:space="preserve"> are Thai Polyethylene Company Limited, Map Ta Phut Olefins Company Limited, Rayong Olefins Company Limited, Grand Siam Composites Company Limited, Thai MFC Company Limited, Thai MMA Company Limited, and Rayong Terminal Company Limited.</w:t>
      </w:r>
    </w:p>
    <w:p w14:paraId="76D09D12" w14:textId="77777777" w:rsidR="00BC7008" w:rsidRDefault="00BC7008" w:rsidP="00BC7008">
      <w:pPr>
        <w:pStyle w:val="NoSpacing"/>
        <w:ind w:firstLine="720"/>
        <w:jc w:val="thaiDistribute"/>
        <w:rPr>
          <w:rFonts w:asciiTheme="minorBidi" w:hAnsiTheme="minorBidi"/>
          <w:sz w:val="32"/>
          <w:szCs w:val="32"/>
        </w:rPr>
      </w:pPr>
      <w:r w:rsidRPr="00DF31D8">
        <w:rPr>
          <w:rFonts w:asciiTheme="minorBidi" w:hAnsiTheme="minorBidi"/>
          <w:sz w:val="32"/>
          <w:szCs w:val="32"/>
        </w:rPr>
        <w:t>Furthermore, the companies under SCGC that received</w:t>
      </w:r>
      <w:r w:rsidRPr="00DF31D8">
        <w:rPr>
          <w:rFonts w:asciiTheme="minorBidi" w:hAnsiTheme="minorBidi"/>
          <w:b/>
          <w:bCs/>
          <w:sz w:val="32"/>
          <w:szCs w:val="32"/>
        </w:rPr>
        <w:t xml:space="preserve"> the Environmental and Safety Governance Awards (White Flag - Green Star) for Good Performance</w:t>
      </w:r>
      <w:r w:rsidRPr="00DF31D8">
        <w:rPr>
          <w:rFonts w:asciiTheme="minorBidi" w:hAnsiTheme="minorBidi"/>
          <w:sz w:val="32"/>
          <w:szCs w:val="32"/>
        </w:rPr>
        <w:t xml:space="preserve"> </w:t>
      </w:r>
      <w:r w:rsidRPr="00DF31D8">
        <w:rPr>
          <w:rFonts w:asciiTheme="minorBidi" w:hAnsiTheme="minorBidi"/>
          <w:b/>
          <w:bCs/>
          <w:sz w:val="32"/>
          <w:szCs w:val="32"/>
        </w:rPr>
        <w:t>in 2024</w:t>
      </w:r>
      <w:r w:rsidRPr="00DF31D8">
        <w:rPr>
          <w:rFonts w:asciiTheme="minorBidi" w:hAnsiTheme="minorBidi"/>
          <w:sz w:val="32"/>
          <w:szCs w:val="32"/>
        </w:rPr>
        <w:t xml:space="preserve"> include Map Ta Phut Olefins Company Limited, Rayong Olefins Company Limited, Thai Polyethylene Company Limited, Thai Plastic and Chemicals Public Company Limited, SCG </w:t>
      </w:r>
      <w:proofErr w:type="spellStart"/>
      <w:r w:rsidRPr="00DF31D8">
        <w:rPr>
          <w:rFonts w:asciiTheme="minorBidi" w:hAnsiTheme="minorBidi"/>
          <w:sz w:val="32"/>
          <w:szCs w:val="32"/>
        </w:rPr>
        <w:t>Ico</w:t>
      </w:r>
      <w:proofErr w:type="spellEnd"/>
      <w:r w:rsidRPr="00DF31D8">
        <w:rPr>
          <w:rFonts w:asciiTheme="minorBidi" w:hAnsiTheme="minorBidi"/>
          <w:sz w:val="32"/>
          <w:szCs w:val="32"/>
        </w:rPr>
        <w:t xml:space="preserve"> Polymers Company Limited, Grand Siam Composites Company Limited, Thai MFC Company Limited, Thai MMA Company Limited, Rayong Terminal Company Limited, Map Ta Phut Tank Terminal Company Limited, and TPC Paste Resin Company Limited.</w:t>
      </w:r>
    </w:p>
    <w:p w14:paraId="3C26BBF7" w14:textId="77777777" w:rsidR="00BC7008" w:rsidRPr="00FA74AB" w:rsidRDefault="00BC7008" w:rsidP="00BC7008">
      <w:pPr>
        <w:pStyle w:val="NoSpacing"/>
        <w:ind w:firstLine="720"/>
        <w:jc w:val="thaiDistribute"/>
        <w:rPr>
          <w:rFonts w:asciiTheme="minorBidi" w:hAnsiTheme="minorBidi"/>
          <w:sz w:val="32"/>
          <w:szCs w:val="32"/>
          <w:cs/>
        </w:rPr>
      </w:pPr>
      <w:bookmarkStart w:id="0" w:name="_GoBack"/>
      <w:bookmarkEnd w:id="0"/>
    </w:p>
    <w:p w14:paraId="3505D94F" w14:textId="77777777" w:rsidR="00BC7008" w:rsidRPr="00FA74AB" w:rsidRDefault="00BC7008" w:rsidP="00BC7008">
      <w:pPr>
        <w:ind w:firstLine="720"/>
        <w:jc w:val="both"/>
        <w:rPr>
          <w:rFonts w:asciiTheme="minorBidi" w:hAnsiTheme="minorBidi" w:cstheme="minorBidi"/>
          <w:sz w:val="32"/>
          <w:szCs w:val="32"/>
        </w:rPr>
      </w:pPr>
      <w:r w:rsidRPr="00FA74AB">
        <w:rPr>
          <w:rFonts w:asciiTheme="minorBidi" w:hAnsiTheme="minorBidi" w:cstheme="minorBidi"/>
          <w:sz w:val="32"/>
          <w:szCs w:val="32"/>
        </w:rPr>
        <w:t xml:space="preserve">The Environmental and Safety Governance Program by the Industrial Estate Authority of Thailand (IEAT) is evaluated based on 13 international standard criteria. These standards include: 1) </w:t>
      </w:r>
      <w:r w:rsidRPr="00FA74AB">
        <w:rPr>
          <w:rFonts w:asciiTheme="minorBidi" w:hAnsiTheme="minorBidi" w:cstheme="minorBidi"/>
          <w:sz w:val="32"/>
          <w:szCs w:val="32"/>
        </w:rPr>
        <w:lastRenderedPageBreak/>
        <w:t>Green space management, 2) Drainage systems, 3) Promotion of local and community economies, 4) Water management, 5) Industrial waste management and waste reduction, 6) Air quality management, 7) Regulation of chemical vapor emissions (specifically for plants with VOCs), 8) Employee safety and health, 9) Accident and disaster management, 10) Handling of complaints against plants, 11) Quality of life and social conditions for plant employees, 12) Quality of life and social conditions for surrounding communities, and 13) Overall plant management. The IEAT has appointed a working group consisting of IEAT representatives, community representatives, local government officials, and local media to conduct plant assessments. These assessments are part of the plan to reduce and eliminate pollution from industrial plants within industrial estates and industrial ports in the Map Ta Phut area. The results of these assessments are used to evaluate the plants' capabilities in environmental management, safety, and corporate social responsibility (CSR) for the preceding year (2023). Awards are then presented to the plants that meet the criteria for either the Outstanding level (White Flag - Gold Star) or Good level (White Flag - Green Star) for those that have consistently met the criteria for six consecutive years or more.</w:t>
      </w:r>
    </w:p>
    <w:p w14:paraId="3C6E78BA" w14:textId="77777777" w:rsidR="00BC7008" w:rsidRDefault="00BC7008" w:rsidP="00BC7008">
      <w:pPr>
        <w:pStyle w:val="NoSpacing"/>
        <w:jc w:val="thaiDistribute"/>
        <w:rPr>
          <w:rFonts w:asciiTheme="minorBidi" w:hAnsiTheme="minorBidi"/>
          <w:sz w:val="32"/>
          <w:szCs w:val="32"/>
        </w:rPr>
      </w:pPr>
    </w:p>
    <w:p w14:paraId="751A46EB" w14:textId="77777777" w:rsidR="00BC7008" w:rsidRPr="005959A3" w:rsidRDefault="00BC7008" w:rsidP="00BC7008">
      <w:pPr>
        <w:pStyle w:val="NoSpacing"/>
        <w:jc w:val="thaiDistribute"/>
        <w:rPr>
          <w:rFonts w:asciiTheme="minorBidi" w:hAnsiTheme="minorBidi"/>
          <w:sz w:val="32"/>
          <w:szCs w:val="32"/>
        </w:rPr>
      </w:pPr>
      <w:r w:rsidRPr="00FA74AB">
        <w:rPr>
          <w:rFonts w:asciiTheme="minorBidi" w:hAnsiTheme="minorBidi"/>
          <w:sz w:val="32"/>
          <w:szCs w:val="32"/>
        </w:rPr>
        <w:t>For more information, please visit </w:t>
      </w:r>
      <w:hyperlink r:id="rId7" w:tgtFrame="_new" w:history="1">
        <w:r w:rsidRPr="005959A3">
          <w:rPr>
            <w:rStyle w:val="Hyperlink"/>
            <w:rFonts w:asciiTheme="minorBidi" w:hAnsiTheme="minorBidi"/>
            <w:sz w:val="32"/>
            <w:szCs w:val="32"/>
          </w:rPr>
          <w:t>https://www.scgchemicals.com</w:t>
        </w:r>
      </w:hyperlink>
      <w:r w:rsidRPr="005959A3">
        <w:rPr>
          <w:rFonts w:asciiTheme="minorBidi" w:hAnsiTheme="minorBidi"/>
          <w:sz w:val="32"/>
          <w:szCs w:val="32"/>
        </w:rPr>
        <w:t>.</w:t>
      </w:r>
    </w:p>
    <w:p w14:paraId="0C1F8CED" w14:textId="77777777" w:rsidR="00BC7008" w:rsidRDefault="00BC7008" w:rsidP="00BC7008">
      <w:pPr>
        <w:pStyle w:val="NoSpacing"/>
        <w:jc w:val="thaiDistribute"/>
        <w:rPr>
          <w:rFonts w:asciiTheme="minorBidi" w:hAnsiTheme="minorBidi"/>
          <w:sz w:val="32"/>
          <w:szCs w:val="32"/>
        </w:rPr>
      </w:pPr>
    </w:p>
    <w:p w14:paraId="316E14A0" w14:textId="77777777" w:rsidR="00BC7008" w:rsidRDefault="00BC7008" w:rsidP="00BC7008"/>
    <w:p w14:paraId="559D8728" w14:textId="77777777" w:rsidR="00314280" w:rsidRDefault="00314280"/>
    <w:sectPr w:rsidR="003142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25767FF" w16cex:dateUtc="2024-08-21T1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C8344" w14:textId="77777777" w:rsidR="005D1358" w:rsidRDefault="005D1358" w:rsidP="008B37AA">
      <w:r>
        <w:separator/>
      </w:r>
    </w:p>
  </w:endnote>
  <w:endnote w:type="continuationSeparator" w:id="0">
    <w:p w14:paraId="34FCB04F" w14:textId="77777777" w:rsidR="005D1358" w:rsidRDefault="005D1358" w:rsidP="008B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4C3B7" w14:textId="77777777" w:rsidR="008B37AA" w:rsidRDefault="008B37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89A1E" w14:textId="77777777" w:rsidR="008B37AA" w:rsidRDefault="008B37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13A6E" w14:textId="77777777" w:rsidR="008B37AA" w:rsidRDefault="008B3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F1766" w14:textId="77777777" w:rsidR="005D1358" w:rsidRDefault="005D1358" w:rsidP="008B37AA">
      <w:r>
        <w:separator/>
      </w:r>
    </w:p>
  </w:footnote>
  <w:footnote w:type="continuationSeparator" w:id="0">
    <w:p w14:paraId="0C0086C0" w14:textId="77777777" w:rsidR="005D1358" w:rsidRDefault="005D1358" w:rsidP="008B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095C7" w14:textId="77777777" w:rsidR="008B37AA" w:rsidRDefault="008B3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5A03C" w14:textId="44D2D5DC" w:rsidR="008B37AA" w:rsidRPr="00F13DDF" w:rsidRDefault="008B37AA" w:rsidP="008B37AA">
    <w:pPr>
      <w:pStyle w:val="Header"/>
      <w:rPr>
        <w:color w:val="0070C0"/>
        <w:sz w:val="32"/>
        <w:szCs w:val="32"/>
      </w:rPr>
    </w:pPr>
    <w:r w:rsidRPr="00F13DDF">
      <w:rPr>
        <w:rFonts w:ascii="Cordia New" w:hAnsi="Cordia New" w:cs="Cordia New"/>
        <w:noProof/>
        <w:color w:val="0070C0"/>
        <w:sz w:val="32"/>
        <w:szCs w:val="32"/>
      </w:rPr>
      <w:drawing>
        <wp:anchor distT="0" distB="0" distL="114300" distR="114300" simplePos="0" relativeHeight="251659264" behindDoc="0" locked="0" layoutInCell="1" allowOverlap="1" wp14:anchorId="0ED8E87A" wp14:editId="325B4632">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F13DDF" w:rsidRPr="00F13DDF">
      <w:rPr>
        <w:rFonts w:ascii="Cordia New" w:hAnsi="Cordia New" w:cs="Cordia New"/>
        <w:noProof/>
        <w:color w:val="0070C0"/>
        <w:sz w:val="32"/>
        <w:szCs w:val="32"/>
      </w:rPr>
      <w:t>Press Release</w:t>
    </w:r>
  </w:p>
  <w:p w14:paraId="2EC0FB29" w14:textId="77777777" w:rsidR="008B37AA" w:rsidRDefault="008B37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DEE6D" w14:textId="77777777" w:rsidR="008B37AA" w:rsidRDefault="008B3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298D"/>
    <w:multiLevelType w:val="hybridMultilevel"/>
    <w:tmpl w:val="8CBC8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7AA"/>
    <w:rsid w:val="00010AEA"/>
    <w:rsid w:val="000406A5"/>
    <w:rsid w:val="000934BC"/>
    <w:rsid w:val="00146748"/>
    <w:rsid w:val="00237D78"/>
    <w:rsid w:val="0027471E"/>
    <w:rsid w:val="00314280"/>
    <w:rsid w:val="00546419"/>
    <w:rsid w:val="00550F5E"/>
    <w:rsid w:val="00557F20"/>
    <w:rsid w:val="00581C09"/>
    <w:rsid w:val="00594D60"/>
    <w:rsid w:val="005C5BA9"/>
    <w:rsid w:val="005D1358"/>
    <w:rsid w:val="005E4665"/>
    <w:rsid w:val="005F6527"/>
    <w:rsid w:val="00633B29"/>
    <w:rsid w:val="00666542"/>
    <w:rsid w:val="007849AF"/>
    <w:rsid w:val="0079573D"/>
    <w:rsid w:val="007D3C4B"/>
    <w:rsid w:val="00825F43"/>
    <w:rsid w:val="008318F6"/>
    <w:rsid w:val="008B37AA"/>
    <w:rsid w:val="008C779A"/>
    <w:rsid w:val="00981220"/>
    <w:rsid w:val="00A37F5C"/>
    <w:rsid w:val="00A66EBB"/>
    <w:rsid w:val="00AC1FF8"/>
    <w:rsid w:val="00B007EB"/>
    <w:rsid w:val="00B74695"/>
    <w:rsid w:val="00BC4E0F"/>
    <w:rsid w:val="00BC7008"/>
    <w:rsid w:val="00BE0791"/>
    <w:rsid w:val="00C92D2D"/>
    <w:rsid w:val="00CB1166"/>
    <w:rsid w:val="00CF6DA1"/>
    <w:rsid w:val="00D31778"/>
    <w:rsid w:val="00D40293"/>
    <w:rsid w:val="00D5397F"/>
    <w:rsid w:val="00D54A7C"/>
    <w:rsid w:val="00D93046"/>
    <w:rsid w:val="00F13DDF"/>
    <w:rsid w:val="00FC65F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BA08D"/>
  <w15:chartTrackingRefBased/>
  <w15:docId w15:val="{83DC35FB-80BC-4594-954A-F5C58053C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7AA"/>
    <w:pPr>
      <w:spacing w:after="0" w:line="240" w:lineRule="auto"/>
    </w:pPr>
    <w:rPr>
      <w:rFonts w:ascii="Calibri" w:eastAsia="Times New Roman"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7AA"/>
    <w:pPr>
      <w:tabs>
        <w:tab w:val="center" w:pos="4680"/>
        <w:tab w:val="right" w:pos="9360"/>
      </w:tabs>
    </w:pPr>
    <w:rPr>
      <w:rFonts w:asciiTheme="minorHAnsi" w:eastAsiaTheme="minorHAnsi" w:hAnsiTheme="minorHAnsi" w:cstheme="minorBidi"/>
      <w:szCs w:val="28"/>
    </w:rPr>
  </w:style>
  <w:style w:type="character" w:customStyle="1" w:styleId="HeaderChar">
    <w:name w:val="Header Char"/>
    <w:basedOn w:val="DefaultParagraphFont"/>
    <w:link w:val="Header"/>
    <w:uiPriority w:val="99"/>
    <w:rsid w:val="008B37AA"/>
  </w:style>
  <w:style w:type="paragraph" w:styleId="Footer">
    <w:name w:val="footer"/>
    <w:basedOn w:val="Normal"/>
    <w:link w:val="FooterChar"/>
    <w:uiPriority w:val="99"/>
    <w:unhideWhenUsed/>
    <w:rsid w:val="008B37AA"/>
    <w:pPr>
      <w:tabs>
        <w:tab w:val="center" w:pos="4680"/>
        <w:tab w:val="right" w:pos="9360"/>
      </w:tabs>
    </w:pPr>
    <w:rPr>
      <w:rFonts w:asciiTheme="minorHAnsi" w:eastAsiaTheme="minorHAnsi" w:hAnsiTheme="minorHAnsi" w:cstheme="minorBidi"/>
      <w:szCs w:val="28"/>
    </w:rPr>
  </w:style>
  <w:style w:type="character" w:customStyle="1" w:styleId="FooterChar">
    <w:name w:val="Footer Char"/>
    <w:basedOn w:val="DefaultParagraphFont"/>
    <w:link w:val="Footer"/>
    <w:uiPriority w:val="99"/>
    <w:rsid w:val="008B37AA"/>
  </w:style>
  <w:style w:type="character" w:styleId="Hyperlink">
    <w:name w:val="Hyperlink"/>
    <w:basedOn w:val="DefaultParagraphFont"/>
    <w:uiPriority w:val="99"/>
    <w:unhideWhenUsed/>
    <w:rsid w:val="008B37AA"/>
    <w:rPr>
      <w:color w:val="0563C1" w:themeColor="hyperlink"/>
      <w:u w:val="single"/>
    </w:rPr>
  </w:style>
  <w:style w:type="paragraph" w:styleId="NoSpacing">
    <w:name w:val="No Spacing"/>
    <w:uiPriority w:val="1"/>
    <w:qFormat/>
    <w:rsid w:val="008B37AA"/>
    <w:pPr>
      <w:spacing w:after="0" w:line="240" w:lineRule="auto"/>
    </w:pPr>
  </w:style>
  <w:style w:type="paragraph" w:styleId="ListParagraph">
    <w:name w:val="List Paragraph"/>
    <w:basedOn w:val="Normal"/>
    <w:uiPriority w:val="34"/>
    <w:qFormat/>
    <w:rsid w:val="00B74695"/>
    <w:pPr>
      <w:ind w:left="720"/>
      <w:contextualSpacing/>
    </w:pPr>
    <w:rPr>
      <w:rFonts w:cs="Angsana New"/>
      <w:szCs w:val="28"/>
    </w:rPr>
  </w:style>
  <w:style w:type="character" w:styleId="CommentReference">
    <w:name w:val="annotation reference"/>
    <w:basedOn w:val="DefaultParagraphFont"/>
    <w:uiPriority w:val="99"/>
    <w:semiHidden/>
    <w:unhideWhenUsed/>
    <w:rsid w:val="00BC7008"/>
    <w:rPr>
      <w:sz w:val="16"/>
      <w:szCs w:val="16"/>
    </w:rPr>
  </w:style>
  <w:style w:type="paragraph" w:styleId="CommentText">
    <w:name w:val="annotation text"/>
    <w:basedOn w:val="Normal"/>
    <w:link w:val="CommentTextChar"/>
    <w:uiPriority w:val="99"/>
    <w:semiHidden/>
    <w:unhideWhenUsed/>
    <w:rPr>
      <w:rFonts w:cs="Angsana New"/>
      <w:sz w:val="20"/>
      <w:szCs w:val="25"/>
    </w:rPr>
  </w:style>
  <w:style w:type="character" w:customStyle="1" w:styleId="CommentTextChar">
    <w:name w:val="Comment Text Char"/>
    <w:basedOn w:val="DefaultParagraphFont"/>
    <w:link w:val="CommentText"/>
    <w:uiPriority w:val="99"/>
    <w:semiHidden/>
    <w:rPr>
      <w:rFonts w:ascii="Calibri" w:eastAsia="Times New Roman" w:hAnsi="Calibri" w:cs="Angsana New"/>
      <w:sz w:val="20"/>
      <w:szCs w:val="25"/>
    </w:rPr>
  </w:style>
  <w:style w:type="paragraph" w:styleId="BalloonText">
    <w:name w:val="Balloon Text"/>
    <w:basedOn w:val="Normal"/>
    <w:link w:val="BalloonTextChar"/>
    <w:uiPriority w:val="99"/>
    <w:semiHidden/>
    <w:unhideWhenUsed/>
    <w:rsid w:val="00F13DDF"/>
    <w:rPr>
      <w:rFonts w:ascii="Segoe UI" w:hAnsi="Segoe UI" w:cs="Angsana New"/>
      <w:sz w:val="18"/>
    </w:rPr>
  </w:style>
  <w:style w:type="character" w:customStyle="1" w:styleId="BalloonTextChar">
    <w:name w:val="Balloon Text Char"/>
    <w:basedOn w:val="DefaultParagraphFont"/>
    <w:link w:val="BalloonText"/>
    <w:uiPriority w:val="99"/>
    <w:semiHidden/>
    <w:rsid w:val="00F13DDF"/>
    <w:rPr>
      <w:rFonts w:ascii="Segoe UI" w:eastAsia="Times New Roman"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3</cp:revision>
  <dcterms:created xsi:type="dcterms:W3CDTF">2024-08-22T12:07:00Z</dcterms:created>
  <dcterms:modified xsi:type="dcterms:W3CDTF">2024-08-22T12:08:00Z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2024-08-21T01:45:45Z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1fda9fdd-b421-4857-a063-fa0d894da84a</vt:lpwstr>
  </property>
  <property fmtid="{D5CDD505-2E9C-101B-9397-08002B2CF9AE}" pid="8" name="MSIP_Label_282ec11f-0307-4ba2-9c7f-1e910abb2b8a_ContentBits">
    <vt:lpwstr>0</vt:lpwstr>
  </property>
</Properties>
</file>